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both"/>
        <w:rPr>
          <w:rFonts w:ascii="Calibri" w:hAnsi="Calibri"/>
        </w:rPr>
      </w:pPr>
      <w:r>
        <w:rPr>
          <w:rStyle w:val="Strong"/>
          <w:rFonts w:ascii="Calibri" w:hAnsi="Calibri"/>
          <w:b/>
          <w:bCs/>
          <w:sz w:val="24"/>
          <w:szCs w:val="24"/>
        </w:rPr>
        <w:t>A jövő egyházi tanügyi rendszere</w:t>
      </w:r>
    </w:p>
    <w:p>
      <w:pPr>
        <w:pStyle w:val="Heading2"/>
        <w:bidi w:val="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Bevezetés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jövő egyházának olyan oktatási rendszert kell létrehoznia, amely minden gyermek és felnőtt számára elérhető, korszerű, értékalapú és hosszú távon fenntartható. Az egyházi oktatásnak óvodáktól az egyetemekig kell jelen lennie, biztosítva a gyermekek fejlődését hároméves kortól egészen a felsőfokú tanulmányok befejezéséig.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rendszer megalkotásához szükséges a Szentatya támogatása, valamint egy olyan uniós finanszírozási program létrehozása, amely az Európai Unió tagállamai számára biztosít anyagi forrásokat az intézmények felépítéséhez, működtetéséhez, a tantestület bérezéséhez, a felszerelések beszerzéséhez és az akkreditációs programok kidolgozásához.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Kiemelten fontos a vidéki óvodák és iskolák fejlesztése, hiszen ezekben az intézményekben nevelkedhetnek azok a jövőbeli vezetők, akik felnőttként saját közösségeiket, falvaikat és városaikat fogják támogatni és fejleszteni.</w:t>
      </w:r>
    </w:p>
    <w:p>
      <w:pPr>
        <w:pStyle w:val="Heading2"/>
        <w:bidi w:val="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A rendszer felépítése</w:t>
      </w:r>
    </w:p>
    <w:p>
      <w:pPr>
        <w:pStyle w:val="Heading3"/>
        <w:bidi w:val="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1. Oktatási szintek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Óvoda (3 éves kortól)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Általános és középiskola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Egyetem (első diploma kötelező)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 xml:space="preserve">Mester- és doktori képzés </w:t>
      </w:r>
      <w:r>
        <w:rPr>
          <w:rStyle w:val="Strong"/>
          <w:rFonts w:ascii="Calibri" w:hAnsi="Calibri"/>
          <w:sz w:val="24"/>
          <w:szCs w:val="24"/>
        </w:rPr>
        <w:t>(</w:t>
      </w:r>
      <w:r>
        <w:rPr>
          <w:rStyle w:val="Strong"/>
          <w:rFonts w:ascii="Calibri" w:hAnsi="Calibri"/>
          <w:sz w:val="24"/>
          <w:szCs w:val="24"/>
        </w:rPr>
        <w:t>nem kötelező)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kötelező első diploma célja, hogy minden fiatal olyan tudást és készségeket szerezzen, amelyekkel képes lesz saját életét és közösségét felelősen irányítani.</w:t>
      </w:r>
    </w:p>
    <w:p>
      <w:pPr>
        <w:pStyle w:val="Heading2"/>
        <w:bidi w:val="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A tanárokkal szembeni elvárások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Két nyelven történő oktatás</w:t>
      </w:r>
      <w:r>
        <w:rPr>
          <w:rFonts w:ascii="Calibri" w:hAnsi="Calibri"/>
          <w:sz w:val="24"/>
          <w:szCs w:val="24"/>
        </w:rPr>
        <w:t>, amely elengedhetetlen a jövő vezetőinek képzéséhez.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/>
      </w:pPr>
      <w:r>
        <w:rPr>
          <w:rFonts w:ascii="Calibri" w:hAnsi="Calibri"/>
          <w:sz w:val="24"/>
          <w:szCs w:val="24"/>
        </w:rPr>
        <w:t xml:space="preserve">A tanítás alapja a </w:t>
      </w:r>
      <w:r>
        <w:rPr>
          <w:rStyle w:val="Strong"/>
          <w:rFonts w:ascii="Calibri" w:hAnsi="Calibri"/>
          <w:sz w:val="24"/>
          <w:szCs w:val="24"/>
        </w:rPr>
        <w:t>megértés és a minőség</w:t>
      </w:r>
      <w:r>
        <w:rPr>
          <w:rFonts w:ascii="Calibri" w:hAnsi="Calibri"/>
          <w:sz w:val="24"/>
          <w:szCs w:val="24"/>
        </w:rPr>
        <w:t>, nem pedig a túlzott mennyiségű tananyag.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Minden gyermeknek meg kell értenie a tananyagot; a tanár feladata nem az, hogy saját tudását bizonyítsa, hanem hogy a tudást átadja.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/>
      </w:pPr>
      <w:r>
        <w:rPr>
          <w:rFonts w:ascii="Calibri" w:hAnsi="Calibri"/>
          <w:sz w:val="24"/>
          <w:szCs w:val="24"/>
        </w:rPr>
        <w:t xml:space="preserve">Az intézmények kötelesek biztosítani a tanárok számára a szükséges </w:t>
      </w:r>
      <w:r>
        <w:rPr>
          <w:rStyle w:val="Strong"/>
          <w:rFonts w:ascii="Calibri" w:hAnsi="Calibri"/>
          <w:sz w:val="24"/>
          <w:szCs w:val="24"/>
        </w:rPr>
        <w:t>tanügyi eszközöket, technológiát és felszerelést</w:t>
      </w:r>
      <w:r>
        <w:rPr>
          <w:rFonts w:ascii="Calibri" w:hAnsi="Calibri"/>
          <w:sz w:val="24"/>
          <w:szCs w:val="24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Az egyházi iskolákban hangsúlyos szerepet kap: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szeretet,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az önmagunkba vetett hit,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felsőbb vezetés (teremtő energiák) tisztelete,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Jóistenbe vetett hit,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tudás fontossága,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az etika és erkölcs.</w:t>
      </w:r>
    </w:p>
    <w:p>
      <w:pPr>
        <w:pStyle w:val="Heading2"/>
        <w:bidi w:val="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 xml:space="preserve">A diákok és szülők </w:t>
      </w:r>
      <w:r>
        <w:rPr>
          <w:rStyle w:val="Strong"/>
          <w:rFonts w:ascii="Calibri" w:hAnsi="Calibri"/>
          <w:b/>
          <w:bCs/>
          <w:sz w:val="24"/>
          <w:szCs w:val="24"/>
        </w:rPr>
        <w:t xml:space="preserve">iránti </w:t>
      </w:r>
      <w:r>
        <w:rPr>
          <w:rStyle w:val="Strong"/>
          <w:rFonts w:ascii="Calibri" w:hAnsi="Calibri"/>
          <w:b/>
          <w:bCs/>
          <w:sz w:val="24"/>
          <w:szCs w:val="24"/>
        </w:rPr>
        <w:t>elvárás</w:t>
      </w:r>
      <w:r>
        <w:rPr>
          <w:rStyle w:val="Strong"/>
          <w:rFonts w:ascii="Calibri" w:hAnsi="Calibri"/>
          <w:b/>
          <w:bCs/>
          <w:sz w:val="24"/>
          <w:szCs w:val="24"/>
        </w:rPr>
        <w:t>ok</w:t>
      </w:r>
    </w:p>
    <w:p>
      <w:pPr>
        <w:pStyle w:val="Heading3"/>
        <w:bidi w:val="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1. Kapcsolattartás és közösségi részvétel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Folyamatos kommunikáció a tanárokkal és az iskola vezetőségével.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Részvétel a szülők által szervezett közösségi eseményeken.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Részvétel egyházi rendezvényeken.</w:t>
      </w:r>
    </w:p>
    <w:p>
      <w:pPr>
        <w:pStyle w:val="Heading3"/>
        <w:bidi w:val="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2. Anyagi hozzájárulás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Az egyházi iskolák hosszú távú fenntartása érdekében a szülők jövedelmük tizedét fizetik be támogatásként.</w:t>
      </w:r>
    </w:p>
    <w:p>
      <w:pPr>
        <w:pStyle w:val="Heading3"/>
        <w:bidi w:val="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3. Gyermekek fejlődésének támogatása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Külföldi csereprogramok és tanítótáborok támogatása.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Egészséges otthoni életmód biztosítása: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tiszta környezet,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tiszta ruházat,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egészséges étkezés,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környezetszennyező anyagok mellőzése.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rászoruló gyermekek támogatása a lehetőségekhez mérten.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gyermekek otthoni tanulásának segítése: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értelmes, fejlesztő játékok,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könyvek biztosítása,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left="1418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tanulási környezet kialakítása.</w:t>
      </w:r>
    </w:p>
    <w:p>
      <w:pPr>
        <w:pStyle w:val="Heading2"/>
        <w:bidi w:val="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Összegzés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jövő egyházi tanügyi rendszere egy olyan átfogó, értékalapú és közösségépítő modell, amely képes lenne új alapokra helyezni az európai oktatást. A rendszer célja, hogy olyan vezetőket neveljen, akik szeretettel, hittel, tudással és felelősséggel fordulnak saját közösségeik felé, és képesek lesznek a társadalom fejlődését szolgálni.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LibreOffice/24.2.4.2$Windows_X86_64 LibreOffice_project/51a6219feb6075d9a4c46691dcfe0cd9c4fff3c2</Application>
  <AppVersion>15.0000</AppVersion>
  <Pages>2</Pages>
  <Words>414</Words>
  <Characters>2660</Characters>
  <CharactersWithSpaces>2999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2026-02-20T19:41:37Z</dcterms:created>
  <dc:creator/>
  <dc:description/>
  <dc:language>hu-HU</dc:language>
  <cp:lastModifiedBy/>
  <cp:lastPrinted>2026-02-20T21:16:48Z</cp:lastPrinted>
  <dcterms:modified xsi:type="dcterms:W3CDTF">2026-02-20T21:42:41Z</dcterms:modified>
  <cp:revision>6</cp:revision>
  <dc:subject/>
  <dc:title/>
</cp:coreProperties>
</file>