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420" w:before="105" w:after="75"/>
        <w:jc w:val="both"/>
        <w:rPr>
          <w:rFonts w:ascii="Calibri" w:hAnsi="Calibri"/>
          <w:color w:val="000000"/>
          <w:sz w:val="24"/>
          <w:szCs w:val="24"/>
        </w:rPr>
      </w:pPr>
      <w:r>
        <w:rPr>
          <w:rFonts w:ascii="Calibri" w:hAnsi="Calibri"/>
          <w:b/>
          <w:color w:val="000000"/>
          <w:sz w:val="24"/>
          <w:szCs w:val="24"/>
        </w:rPr>
        <w:t>Economy, Industry and Infrastructure in Hungary</w:t>
      </w:r>
    </w:p>
    <w:p>
      <w:pPr>
        <w:pStyle w:val="Normal"/>
        <w:bidi w:val="0"/>
        <w:spacing w:lineRule="atLeast" w:line="420" w:before="105" w:after="75"/>
        <w:jc w:val="both"/>
        <w:rPr>
          <w:rFonts w:ascii="Calibri" w:hAnsi="Calibri"/>
          <w:color w:val="000000"/>
          <w:sz w:val="24"/>
          <w:szCs w:val="24"/>
        </w:rPr>
      </w:pPr>
      <w:r>
        <w:rPr>
          <w:rFonts w:ascii="Calibri" w:hAnsi="Calibri"/>
          <w:color w:val="000000"/>
          <w:sz w:val="24"/>
          <w:szCs w:val="24"/>
        </w:rPr>
        <w:t>The following principles outline measures that could help strengthen Hungary's economy, industry, and infrastructure.</w:t>
      </w:r>
    </w:p>
    <w:p>
      <w:pPr>
        <w:pStyle w:val="Normal"/>
        <w:bidi w:val="0"/>
        <w:spacing w:lineRule="atLeast" w:line="420" w:before="105" w:after="75"/>
        <w:jc w:val="both"/>
        <w:rPr>
          <w:rFonts w:ascii="Calibri" w:hAnsi="Calibri"/>
          <w:color w:val="000000"/>
          <w:sz w:val="24"/>
          <w:szCs w:val="24"/>
        </w:rPr>
      </w:pPr>
      <w:r>
        <w:rPr>
          <w:rFonts w:ascii="Calibri" w:hAnsi="Calibri"/>
          <w:b/>
          <w:color w:val="000000"/>
          <w:sz w:val="24"/>
          <w:szCs w:val="24"/>
        </w:rPr>
        <w:t>Economic Stability and EU Cooperation</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Consistent compliance with EU regulations and funding requirements</w:t>
      </w:r>
      <w:r>
        <w:rPr>
          <w:rFonts w:ascii="Calibri" w:hAnsi="Calibri"/>
          <w:color w:val="000000"/>
          <w:sz w:val="24"/>
          <w:szCs w:val="24"/>
        </w:rPr>
        <w:t xml:space="preserve"> to ensure that Hungary gains access to the maximum possible amount of development funding. These resources are essential for the modernization of infrastructure, education, and healthcare.</w:t>
      </w:r>
    </w:p>
    <w:p>
      <w:pPr>
        <w:pStyle w:val="BodyText"/>
        <w:numPr>
          <w:ilvl w:val="0"/>
          <w:numId w:val="0"/>
        </w:numPr>
        <w:bidi w:val="0"/>
        <w:spacing w:lineRule="atLeast" w:line="360" w:before="60" w:after="60"/>
        <w:ind w:hanging="0" w:left="0" w:right="0"/>
        <w:jc w:val="both"/>
        <w:rPr>
          <w:rFonts w:ascii="Calibri" w:hAnsi="Calibri"/>
          <w:color w:val="000000"/>
          <w:sz w:val="24"/>
          <w:szCs w:val="24"/>
        </w:rPr>
      </w:pPr>
      <w:r>
        <w:rPr>
          <w:rFonts w:ascii="Calibri" w:hAnsi="Calibri"/>
          <w:b/>
          <w:color w:val="000000"/>
          <w:sz w:val="24"/>
          <w:szCs w:val="24"/>
        </w:rPr>
        <w:t>Tax Policy and a Business-Friendly Environment</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Reducing the standard VAT rate from 27% to 13%</w:t>
      </w:r>
      <w:r>
        <w:rPr>
          <w:rFonts w:ascii="Calibri" w:hAnsi="Calibri"/>
          <w:color w:val="000000"/>
          <w:sz w:val="24"/>
          <w:szCs w:val="24"/>
        </w:rPr>
        <w:t>, which could encourage both domestic and foreign businesses to invest in Hungary, increase consumer spending, and create new jobs. In the long term, higher employment levels could compensate for the reduction in tax revenue.</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A reduced 5% VAT rate on healthy foods and essential products</w:t>
      </w:r>
      <w:r>
        <w:rPr>
          <w:rFonts w:ascii="Calibri" w:hAnsi="Calibri"/>
          <w:color w:val="000000"/>
          <w:sz w:val="24"/>
          <w:szCs w:val="24"/>
        </w:rPr>
        <w:t>, ensuring that quality nutrition remains affordable for everyone.</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A 5% VAT rate and state support for medicines</w:t>
      </w:r>
      <w:r>
        <w:rPr>
          <w:rFonts w:ascii="Calibri" w:hAnsi="Calibri"/>
          <w:color w:val="000000"/>
          <w:sz w:val="24"/>
          <w:szCs w:val="24"/>
        </w:rPr>
        <w:t>, so that no one is left without access to necessary treatment.</w:t>
      </w:r>
    </w:p>
    <w:p>
      <w:pPr>
        <w:pStyle w:val="BodyText"/>
        <w:numPr>
          <w:ilvl w:val="0"/>
          <w:numId w:val="0"/>
        </w:numPr>
        <w:tabs>
          <w:tab w:val="clear" w:pos="709"/>
          <w:tab w:val="left" w:pos="509" w:leader="none"/>
        </w:tabs>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Strengthening the Pension System</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A 15% increase in pensions</w:t>
      </w:r>
      <w:r>
        <w:rPr>
          <w:rFonts w:ascii="Calibri" w:hAnsi="Calibri"/>
          <w:color w:val="000000"/>
          <w:sz w:val="24"/>
          <w:szCs w:val="24"/>
        </w:rPr>
        <w:t>, financed through higher employment rates and increased tax revenues. A dignified old age is a fundamental social value.</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Healthcare Development</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Substantial public investment in healthcare</w:t>
      </w:r>
      <w:r>
        <w:rPr>
          <w:rFonts w:ascii="Calibri" w:hAnsi="Calibri"/>
          <w:color w:val="000000"/>
          <w:sz w:val="24"/>
          <w:szCs w:val="24"/>
        </w:rPr>
        <w:t>, including the renovation and modernization of hospitals.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Maintaining healthcare under public ownership</w:t>
      </w:r>
      <w:r>
        <w:rPr>
          <w:rFonts w:ascii="Calibri" w:hAnsi="Calibri"/>
          <w:color w:val="000000"/>
          <w:sz w:val="24"/>
          <w:szCs w:val="24"/>
        </w:rPr>
        <w:t>, as many citizens could not afford a fully privatized healthcare system under current income levels.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The establishment of church-operated hospitals and natural medicine centers</w:t>
      </w:r>
      <w:r>
        <w:rPr>
          <w:rFonts w:ascii="Calibri" w:hAnsi="Calibri"/>
          <w:color w:val="000000"/>
          <w:sz w:val="24"/>
          <w:szCs w:val="24"/>
        </w:rPr>
        <w:t>, where qualified naturopathic practitioners could also work.</w:t>
      </w:r>
    </w:p>
    <w:p>
      <w:pPr>
        <w:pStyle w:val="BodyText"/>
        <w:numPr>
          <w:ilvl w:val="0"/>
          <w:numId w:val="0"/>
        </w:numPr>
        <w:bidi w:val="0"/>
        <w:spacing w:lineRule="atLeast" w:line="360" w:before="60" w:after="60"/>
        <w:ind w:hanging="0" w:left="0" w:right="0"/>
        <w:jc w:val="both"/>
        <w:rPr>
          <w:rFonts w:ascii="Calibri" w:hAnsi="Calibri"/>
          <w:color w:val="000000"/>
          <w:sz w:val="24"/>
          <w:szCs w:val="24"/>
        </w:rPr>
      </w:pPr>
      <w:r>
        <w:rPr>
          <w:rFonts w:ascii="Calibri" w:hAnsi="Calibri"/>
          <w:b/>
          <w:color w:val="000000"/>
          <w:sz w:val="24"/>
          <w:szCs w:val="24"/>
        </w:rPr>
        <w:t>Education and a Knowledge-Based Society</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The development of strong public and church-run kindergartens, schools, and universities</w:t>
      </w:r>
      <w:r>
        <w:rPr>
          <w:rFonts w:ascii="Calibri" w:hAnsi="Calibri"/>
          <w:color w:val="000000"/>
          <w:sz w:val="24"/>
          <w:szCs w:val="24"/>
        </w:rPr>
        <w:t xml:space="preserve"> in both urban and rural areas.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The establishment of vocational schools in every municipality</w:t>
      </w:r>
      <w:r>
        <w:rPr>
          <w:rFonts w:ascii="Calibri" w:hAnsi="Calibri"/>
          <w:color w:val="000000"/>
          <w:sz w:val="24"/>
          <w:szCs w:val="24"/>
        </w:rPr>
        <w:t>, enabling young people to gain marketable skills.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Encouraging the attainment of a first university degree</w:t>
      </w:r>
      <w:r>
        <w:rPr>
          <w:rFonts w:ascii="Calibri" w:hAnsi="Calibri"/>
          <w:color w:val="000000"/>
          <w:sz w:val="24"/>
          <w:szCs w:val="24"/>
        </w:rPr>
        <w:t>, including free tuition opportunities, so that young people can access better-paying, more stable jobs and qualify for higher pensions later in life.</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Energy and Security of Supply</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Ensuring affordable fuel, natural gas, and electricity</w:t>
      </w:r>
      <w:r>
        <w:rPr>
          <w:rFonts w:ascii="Calibri" w:hAnsi="Calibri"/>
          <w:color w:val="000000"/>
          <w:sz w:val="24"/>
          <w:szCs w:val="24"/>
        </w:rPr>
        <w:t xml:space="preserve"> through strong international partnerships and long-term agreements.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Supporting green energy initiatives</w:t>
      </w:r>
      <w:r>
        <w:rPr>
          <w:rFonts w:ascii="Calibri" w:hAnsi="Calibri"/>
          <w:color w:val="000000"/>
          <w:sz w:val="24"/>
          <w:szCs w:val="24"/>
        </w:rPr>
        <w:t>, especially in the areas of solar, wind, and geothermal energy.</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Agriculture and Food Security</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Supporting the production of organic foods</w:t>
      </w:r>
      <w:r>
        <w:rPr>
          <w:rFonts w:ascii="Calibri" w:hAnsi="Calibri"/>
          <w:color w:val="000000"/>
          <w:sz w:val="24"/>
          <w:szCs w:val="24"/>
        </w:rPr>
        <w:t>, particularly among small-scale farmers.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Supporting the development of non-alcoholic beverages</w:t>
      </w:r>
      <w:r>
        <w:rPr>
          <w:rFonts w:ascii="Calibri" w:hAnsi="Calibri"/>
          <w:color w:val="000000"/>
          <w:sz w:val="24"/>
          <w:szCs w:val="24"/>
        </w:rPr>
        <w:t>, such as alcohol-free wines, which provide healthier alternatives.</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Infrastructure and Transportation</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The systematic renovation of roads across all municipalities</w:t>
      </w:r>
      <w:r>
        <w:rPr>
          <w:rFonts w:ascii="Calibri" w:hAnsi="Calibri"/>
          <w:color w:val="000000"/>
          <w:sz w:val="24"/>
          <w:szCs w:val="24"/>
        </w:rPr>
        <w:t>, financed through a dedicated national infrastructure fund.</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The modernization of all railway and bus stations</w:t>
      </w:r>
      <w:r>
        <w:rPr>
          <w:rFonts w:ascii="Calibri" w:hAnsi="Calibri"/>
          <w:color w:val="000000"/>
          <w:sz w:val="24"/>
          <w:szCs w:val="24"/>
        </w:rPr>
        <w:t>, utilizing both EU and tourism-related funding sources.</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Culture and Community Development</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Culture-based development of cities and villages</w:t>
      </w:r>
      <w:r>
        <w:rPr>
          <w:rFonts w:ascii="Calibri" w:hAnsi="Calibri"/>
          <w:color w:val="000000"/>
          <w:sz w:val="24"/>
          <w:szCs w:val="24"/>
        </w:rPr>
        <w:t>, including the creation of theaters, cultural centers, cinemas, and healthy restaurants.</w:t>
      </w:r>
    </w:p>
    <w:p>
      <w:pPr>
        <w:pStyle w:val="BodyText"/>
        <w:numPr>
          <w:ilvl w:val="0"/>
          <w:numId w:val="1"/>
        </w:numPr>
        <w:bidi w:val="0"/>
        <w:spacing w:lineRule="atLeast" w:line="360" w:before="60" w:after="60"/>
        <w:jc w:val="both"/>
        <w:rPr>
          <w:rFonts w:ascii="Calibri" w:hAnsi="Calibri"/>
          <w:color w:val="000000"/>
          <w:sz w:val="24"/>
          <w:szCs w:val="24"/>
        </w:rPr>
      </w:pPr>
      <w:r>
        <w:rPr>
          <w:rFonts w:ascii="Calibri" w:hAnsi="Calibri"/>
          <w:b/>
          <w:color w:val="000000"/>
          <w:sz w:val="24"/>
          <w:szCs w:val="24"/>
        </w:rPr>
        <w:t>Strengthening sister-city partnerships</w:t>
      </w:r>
      <w:r>
        <w:rPr>
          <w:rFonts w:ascii="Calibri" w:hAnsi="Calibri"/>
          <w:color w:val="000000"/>
          <w:sz w:val="24"/>
          <w:szCs w:val="24"/>
        </w:rPr>
        <w:t xml:space="preserve"> with municipalities across the European Union to promote cultural and economic cooperation.</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Supporting Hungarian Industry and Robotics</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 xml:space="preserve">Hungarian industry could become more competitive through state support for </w:t>
      </w:r>
      <w:r>
        <w:rPr>
          <w:rFonts w:ascii="Calibri" w:hAnsi="Calibri"/>
          <w:b/>
          <w:color w:val="000000"/>
          <w:sz w:val="24"/>
          <w:szCs w:val="24"/>
        </w:rPr>
        <w:t>robotics, automation, and digitalization</w:t>
      </w:r>
      <w:r>
        <w:rPr>
          <w:rFonts w:ascii="Calibri" w:hAnsi="Calibri"/>
          <w:color w:val="000000"/>
          <w:sz w:val="24"/>
          <w:szCs w:val="24"/>
        </w:rPr>
        <w:t>.</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Establishing an Innovation and Research Fund</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Joint innovation projects between Hungarian universities and businesses could lead to the development of new technologies and strengthen the country's research and development sector.</w:t>
      </w:r>
    </w:p>
    <w:p>
      <w:pPr>
        <w:pStyle w:val="BodyText"/>
        <w:numPr>
          <w:ilvl w:val="0"/>
          <w:numId w:val="0"/>
        </w:numPr>
        <w:tabs>
          <w:tab w:val="clear" w:pos="709"/>
          <w:tab w:val="left" w:pos="737" w:leader="none"/>
        </w:tabs>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High-Speed Rail Network Development</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Building high-speed rail connections from Budapest to the capitals of all European Union member states could boost tourism and strengthen international economic relations.</w:t>
      </w:r>
    </w:p>
    <w:p>
      <w:pPr>
        <w:pStyle w:val="BodyText"/>
        <w:numPr>
          <w:ilvl w:val="0"/>
          <w:numId w:val="0"/>
        </w:numPr>
        <w:bidi w:val="0"/>
        <w:spacing w:lineRule="atLeast" w:line="300" w:before="60" w:after="60"/>
        <w:ind w:hanging="0" w:left="0" w:right="0"/>
        <w:jc w:val="both"/>
        <w:rPr>
          <w:rFonts w:ascii="Calibri" w:hAnsi="Calibri"/>
          <w:color w:val="000000"/>
          <w:sz w:val="24"/>
          <w:szCs w:val="24"/>
        </w:rPr>
      </w:pPr>
      <w:r>
        <w:rPr>
          <w:rFonts w:ascii="Calibri" w:hAnsi="Calibri"/>
          <w:b/>
          <w:color w:val="000000"/>
          <w:sz w:val="24"/>
          <w:szCs w:val="24"/>
        </w:rPr>
        <w:t>Rural Business Development Program</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Tax incentives and financial support could attract businesses to rural areas, reducing the country's dependence on Budapest as the primary economic center.</w:t>
      </w:r>
    </w:p>
    <w:p>
      <w:pPr>
        <w:pStyle w:val="BodyText"/>
        <w:numPr>
          <w:ilvl w:val="0"/>
          <w:numId w:val="0"/>
        </w:numPr>
        <w:tabs>
          <w:tab w:val="clear" w:pos="709"/>
          <w:tab w:val="left" w:pos="420" w:leader="none"/>
        </w:tabs>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Digital Infrastructure Development</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 xml:space="preserve">Nationwide </w:t>
      </w:r>
      <w:r>
        <w:rPr>
          <w:rFonts w:ascii="Calibri" w:hAnsi="Calibri"/>
          <w:b/>
          <w:color w:val="000000"/>
          <w:sz w:val="24"/>
          <w:szCs w:val="24"/>
        </w:rPr>
        <w:t>5G and fiber-optic internet coverage</w:t>
      </w:r>
      <w:r>
        <w:rPr>
          <w:rFonts w:ascii="Calibri" w:hAnsi="Calibri"/>
          <w:color w:val="000000"/>
          <w:sz w:val="24"/>
          <w:szCs w:val="24"/>
        </w:rPr>
        <w:t xml:space="preserve"> would allow every settlement to participate fully in the modern digital economy.</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Housing Program for Young People</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A state-supported housing and affordable rental program could help young people establish families more easily and improve housing accessibility.</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Supporting Agricultural Mechanization</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Government assistance could enable small-scale farmers to acquire modern machinery, increasing productivity and helping to address labor shortages.</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Tourism Infrastructure Development</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 xml:space="preserve">Further development of </w:t>
      </w:r>
      <w:r>
        <w:rPr>
          <w:rFonts w:ascii="Calibri" w:hAnsi="Calibri"/>
          <w:b/>
          <w:color w:val="000000"/>
          <w:sz w:val="24"/>
          <w:szCs w:val="24"/>
        </w:rPr>
        <w:t>thermal spas, nature reserves, and cultural heritage sites</w:t>
      </w:r>
      <w:r>
        <w:rPr>
          <w:rFonts w:ascii="Calibri" w:hAnsi="Calibri"/>
          <w:color w:val="000000"/>
          <w:sz w:val="24"/>
          <w:szCs w:val="24"/>
        </w:rPr>
        <w:t xml:space="preserve"> could help position Hungary as a premium tourist destination.</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Supporting the Domestic Craft and Creative Industries</w:t>
      </w:r>
    </w:p>
    <w:p>
      <w:pPr>
        <w:pStyle w:val="BodyText"/>
        <w:numPr>
          <w:ilvl w:val="0"/>
          <w:numId w:val="1"/>
        </w:numPr>
        <w:bidi w:val="0"/>
        <w:spacing w:lineRule="atLeast" w:line="300" w:before="60" w:after="60"/>
        <w:jc w:val="both"/>
        <w:rPr>
          <w:rFonts w:ascii="Calibri" w:hAnsi="Calibri"/>
          <w:color w:val="000000"/>
          <w:sz w:val="24"/>
          <w:szCs w:val="24"/>
        </w:rPr>
      </w:pPr>
      <w:r>
        <w:rPr>
          <w:rFonts w:ascii="Calibri" w:hAnsi="Calibri"/>
          <w:color w:val="000000"/>
          <w:sz w:val="24"/>
          <w:szCs w:val="24"/>
        </w:rPr>
        <w:t>Strengthening Hungarian handicrafts, fashion, design, and artistic industries could create export-oriented sectors with significant economic potential.</w:t>
      </w:r>
    </w:p>
    <w:p>
      <w:pPr>
        <w:pStyle w:val="BodyText"/>
        <w:numPr>
          <w:ilvl w:val="0"/>
          <w:numId w:val="0"/>
        </w:numPr>
        <w:bidi w:val="0"/>
        <w:spacing w:lineRule="atLeast" w:line="360" w:before="120" w:after="60"/>
        <w:ind w:hanging="0" w:left="0" w:right="0"/>
        <w:jc w:val="both"/>
        <w:rPr>
          <w:rFonts w:ascii="Calibri" w:hAnsi="Calibri"/>
          <w:b/>
          <w:color w:val="000000"/>
          <w:sz w:val="24"/>
          <w:szCs w:val="24"/>
        </w:rPr>
      </w:pPr>
      <w:r>
        <w:rPr>
          <w:rFonts w:ascii="Calibri" w:hAnsi="Calibri"/>
          <w:b/>
          <w:color w:val="000000"/>
          <w:sz w:val="24"/>
          <w:szCs w:val="24"/>
        </w:rPr>
        <w:t>Establishing a National Cybersecurity Center</w:t>
      </w:r>
    </w:p>
    <w:p>
      <w:pPr>
        <w:pStyle w:val="BodyText"/>
        <w:numPr>
          <w:ilvl w:val="0"/>
          <w:numId w:val="1"/>
        </w:numPr>
        <w:bidi w:val="0"/>
        <w:spacing w:lineRule="atLeast" w:line="300" w:before="60" w:after="0"/>
        <w:jc w:val="both"/>
        <w:rPr>
          <w:rFonts w:ascii="Calibri" w:hAnsi="Calibri"/>
          <w:color w:val="000000"/>
          <w:sz w:val="24"/>
          <w:szCs w:val="24"/>
        </w:rPr>
      </w:pPr>
      <w:r>
        <w:rPr>
          <w:rFonts w:ascii="Calibri" w:hAnsi="Calibri"/>
          <w:color w:val="000000"/>
          <w:sz w:val="24"/>
          <w:szCs w:val="24"/>
        </w:rPr>
        <w:t>To protect the digital economy, Hungary would benefit from a national cybersecurity institute dedicated to safeguarding critical infrastructure and digital systems.</w:t>
      </w:r>
    </w:p>
    <w:p>
      <w:pPr>
        <w:pStyle w:val="Normal"/>
        <w:bidi w:val="0"/>
        <w:jc w:val="both"/>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Liberation Sans">
    <w:altName w:val="Arial"/>
    <w:charset w:val="ee"/>
    <w:family w:val="swiss"/>
    <w:pitch w:val="variable"/>
  </w:font>
  <w:font w:name="Calibri">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Felsorolsjel">
    <w:name w:val="Felsorolásjel"/>
    <w:qFormat/>
    <w:rPr>
      <w:rFonts w:ascii="OpenSymbol" w:hAnsi="OpenSymbol" w:eastAsia="OpenSymbol" w:cs="OpenSymbol"/>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LibreOffice/24.2.4.2$Windows_X86_64 LibreOffice_project/51a6219feb6075d9a4c46691dcfe0cd9c4fff3c2</Application>
  <AppVersion>15.0000</AppVersion>
  <Pages>3</Pages>
  <Words>708</Words>
  <Characters>4434</Characters>
  <CharactersWithSpaces>5045</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2026-10-18T14:32:49Z</dcterms:created>
  <dc:creator/>
  <dc:description/>
  <dc:language>en-US</dc:language>
  <cp:lastModifiedBy/>
  <dcterms:modified xsi:type="dcterms:W3CDTF">2026-10-18T14:57:23Z</dcterms:modified>
  <cp:revision>2</cp:revision>
  <dc:subject/>
  <dc:title/>
</cp:coreProperties>
</file>